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5" w:line="360" w:lineRule="auto"/>
        <w:jc w:val="both"/>
        <w:rPr>
          <w:rFonts w:hint="default" w:ascii="Arial" w:hAnsi="Arial" w:cs="Arial"/>
          <w:b/>
          <w:bCs/>
          <w:color w:val="auto"/>
          <w:sz w:val="22"/>
          <w:szCs w:val="22"/>
          <w:lang w:val="tr-TR"/>
        </w:rPr>
      </w:pPr>
    </w:p>
    <w:p>
      <w:pPr>
        <w:pStyle w:val="4"/>
        <w:spacing w:before="5" w:line="360" w:lineRule="auto"/>
        <w:ind w:firstLine="720" w:firstLineChars="0"/>
        <w:jc w:val="center"/>
        <w:rPr>
          <w:rFonts w:hint="default" w:ascii="Arial" w:hAnsi="Arial" w:cs="Arial"/>
          <w:b/>
          <w:bCs/>
          <w:color w:val="auto"/>
          <w:sz w:val="22"/>
          <w:szCs w:val="22"/>
          <w:lang w:val="tr-TR"/>
        </w:rPr>
      </w:pPr>
      <w:r>
        <w:rPr>
          <w:rFonts w:hint="default" w:ascii="Arial" w:hAnsi="Arial" w:cs="Arial"/>
          <w:b/>
          <w:bCs/>
          <w:color w:val="auto"/>
          <w:sz w:val="22"/>
          <w:szCs w:val="22"/>
          <w:lang w:val="tr-TR"/>
        </w:rPr>
        <w:t>RÜŞVET VE YOLSUZLUKLA MÜCADELE POLİTİKASI</w:t>
      </w:r>
    </w:p>
    <w:p>
      <w:pPr>
        <w:pStyle w:val="4"/>
        <w:spacing w:before="5" w:line="360" w:lineRule="auto"/>
        <w:ind w:firstLine="720" w:firstLineChars="0"/>
        <w:jc w:val="center"/>
        <w:rPr>
          <w:rFonts w:hint="default" w:ascii="Arial" w:hAnsi="Arial" w:cs="Arial"/>
          <w:b/>
          <w:bCs/>
          <w:color w:val="auto"/>
          <w:sz w:val="22"/>
          <w:szCs w:val="22"/>
          <w:lang w:val="tr-TR" w:eastAsia="tr-TR"/>
        </w:rPr>
      </w:pPr>
    </w:p>
    <w:p>
      <w:pPr>
        <w:pStyle w:val="4"/>
        <w:numPr>
          <w:ilvl w:val="0"/>
          <w:numId w:val="0"/>
        </w:numPr>
        <w:spacing w:before="6" w:line="360" w:lineRule="auto"/>
        <w:ind w:left="220" w:leftChars="100" w:right="0" w:rightChars="0" w:firstLine="0" w:firstLineChars="0"/>
        <w:jc w:val="both"/>
        <w:rPr>
          <w:rFonts w:hint="default" w:ascii="Arial" w:hAnsi="Arial" w:cs="Arial"/>
          <w:color w:val="auto"/>
          <w:sz w:val="22"/>
          <w:szCs w:val="22"/>
          <w:lang w:val="tr-TR" w:eastAsia="tr-TR"/>
        </w:rPr>
      </w:pPr>
      <w:r>
        <w:rPr>
          <w:rFonts w:hint="default" w:ascii="Arial" w:hAnsi="Arial" w:cs="Arial"/>
          <w:color w:val="auto"/>
          <w:sz w:val="22"/>
          <w:szCs w:val="22"/>
          <w:lang w:val="tr-TR" w:eastAsia="tr-TR"/>
        </w:rPr>
        <w:t xml:space="preserve"> DEMİRIŞIK TEKSTİL KONFEKSİYON SAN. VE TİC. A.Ş. </w:t>
      </w:r>
      <w:bookmarkStart w:id="0" w:name="_GoBack"/>
      <w:bookmarkEnd w:id="0"/>
      <w:r>
        <w:rPr>
          <w:rFonts w:hint="default" w:ascii="Arial" w:hAnsi="Arial" w:cs="Arial"/>
          <w:color w:val="auto"/>
          <w:sz w:val="22"/>
          <w:szCs w:val="22"/>
          <w:lang w:val="tr-TR" w:eastAsia="tr-TR"/>
        </w:rPr>
        <w:t>’</w:t>
      </w:r>
      <w:r>
        <w:rPr>
          <w:rFonts w:hint="default" w:ascii="Arial" w:hAnsi="Arial" w:cs="Arial"/>
          <w:color w:val="auto"/>
          <w:sz w:val="22"/>
          <w:szCs w:val="22"/>
          <w:lang w:val="en-US" w:eastAsia="tr-TR"/>
        </w:rPr>
        <w:t>n</w:t>
      </w:r>
      <w:r>
        <w:rPr>
          <w:rFonts w:hint="default" w:ascii="Arial" w:hAnsi="Arial" w:cs="Arial"/>
          <w:color w:val="auto"/>
          <w:sz w:val="22"/>
          <w:szCs w:val="22"/>
          <w:lang w:val="tr-TR" w:eastAsia="tr-TR"/>
        </w:rPr>
        <w:t>in iş etiği anlayışı, kurumsal politikalarımız, iş yapış biçimimiz ve davranışlarımızda en yüksek düzeyde etik standartları içermektedir. Diğer bir deyişle, ahlâki standartların iş hayatımızda kendini her alanda göstermesidir. Şirket birimlerimiz, teknolojik varlıklarımız, finansal ve operasyonel faaliyetlerimiz, kısaca tüm iş süreçlerimize ahlâki gelenekler ve değerlerin de ötesinde bir etik iş yapma anlayışını tam olarak yansıtmaktır.</w:t>
      </w:r>
    </w:p>
    <w:p>
      <w:pPr>
        <w:pStyle w:val="4"/>
        <w:numPr>
          <w:ilvl w:val="0"/>
          <w:numId w:val="0"/>
        </w:numPr>
        <w:spacing w:before="6" w:line="360" w:lineRule="auto"/>
        <w:ind w:left="220" w:leftChars="100" w:right="0" w:rightChars="0" w:firstLine="0" w:firstLineChars="0"/>
        <w:jc w:val="both"/>
        <w:rPr>
          <w:rFonts w:hint="default" w:ascii="Arial" w:hAnsi="Arial" w:cs="Arial"/>
          <w:color w:val="auto"/>
          <w:sz w:val="22"/>
          <w:szCs w:val="22"/>
          <w:lang w:val="tr-TR" w:eastAsia="tr-TR"/>
        </w:rPr>
      </w:pPr>
      <w:r>
        <w:rPr>
          <w:rFonts w:hint="default" w:ascii="Arial" w:hAnsi="Arial" w:cs="Arial"/>
          <w:color w:val="auto"/>
          <w:sz w:val="22"/>
          <w:szCs w:val="22"/>
          <w:lang w:val="tr-TR" w:eastAsia="tr-TR"/>
        </w:rPr>
        <w:t>DEMİRIŞIK TEKSTİL KONFEKSİYON SAN. VE TİC. A.Ş. ’</w:t>
      </w:r>
      <w:r>
        <w:rPr>
          <w:rFonts w:hint="default" w:ascii="Arial" w:hAnsi="Arial" w:cs="Arial"/>
          <w:color w:val="auto"/>
          <w:sz w:val="22"/>
          <w:szCs w:val="22"/>
          <w:lang w:val="en-US" w:eastAsia="tr-TR"/>
        </w:rPr>
        <w:t>n</w:t>
      </w:r>
      <w:r>
        <w:rPr>
          <w:rFonts w:hint="default" w:ascii="Arial" w:hAnsi="Arial" w:cs="Arial"/>
          <w:color w:val="auto"/>
          <w:sz w:val="22"/>
          <w:szCs w:val="22"/>
          <w:lang w:val="tr-TR" w:eastAsia="tr-TR"/>
        </w:rPr>
        <w:t>in sahip olduğu en değerli varlık, müşterilerinin, tedarikçilerinin, çalışanlarının ve hissedarlarının Şirketimize duyduğu güven ve ticari faaliyete başladığımız günden beri kazanmış olduğumuz kurumsal itibarımızdır. Paydaşlarımızın güveni ve itibarımızın korunması, asla taviz vermeyeceğimiz varlık nedenlerimizdir.</w:t>
      </w:r>
    </w:p>
    <w:p>
      <w:pPr>
        <w:pStyle w:val="4"/>
        <w:numPr>
          <w:ilvl w:val="0"/>
          <w:numId w:val="0"/>
        </w:numPr>
        <w:spacing w:before="6" w:line="360" w:lineRule="auto"/>
        <w:ind w:left="220" w:leftChars="100" w:right="0" w:rightChars="0" w:firstLine="0" w:firstLineChars="0"/>
        <w:jc w:val="both"/>
        <w:rPr>
          <w:rFonts w:hint="default" w:ascii="Arial" w:hAnsi="Arial" w:cs="Arial"/>
          <w:color w:val="auto"/>
          <w:sz w:val="22"/>
          <w:szCs w:val="22"/>
          <w:lang w:val="tr-TR" w:eastAsia="tr-TR"/>
        </w:rPr>
      </w:pPr>
      <w:r>
        <w:rPr>
          <w:rFonts w:hint="default" w:ascii="Arial" w:hAnsi="Arial" w:cs="Arial"/>
          <w:color w:val="auto"/>
          <w:sz w:val="22"/>
          <w:szCs w:val="22"/>
          <w:lang w:val="tr-TR" w:eastAsia="tr-TR"/>
        </w:rPr>
        <w:t>DEMİRIŞIK TEKSTİL KONFEKSİYON SAN. VE TİC. A.Ş.  politikaları ve kurumsal etik anlayışı doğrultusunda rüşvet ve yolsuzluğu kesin olarak reddetmektedir.</w:t>
      </w:r>
    </w:p>
    <w:p>
      <w:pPr>
        <w:pStyle w:val="4"/>
        <w:numPr>
          <w:ilvl w:val="0"/>
          <w:numId w:val="0"/>
        </w:numPr>
        <w:spacing w:before="6" w:line="360" w:lineRule="auto"/>
        <w:ind w:left="220" w:leftChars="100" w:right="0" w:rightChars="0" w:firstLine="0" w:firstLineChars="0"/>
        <w:jc w:val="both"/>
        <w:rPr>
          <w:rFonts w:hint="default" w:ascii="Arial" w:hAnsi="Arial" w:cs="Arial"/>
          <w:color w:val="auto"/>
          <w:sz w:val="22"/>
          <w:szCs w:val="22"/>
          <w:lang w:val="tr-TR" w:eastAsia="tr-TR"/>
        </w:rPr>
      </w:pPr>
      <w:r>
        <w:rPr>
          <w:rFonts w:hint="default" w:ascii="Arial" w:hAnsi="Arial" w:cs="Arial"/>
          <w:color w:val="auto"/>
          <w:sz w:val="22"/>
          <w:szCs w:val="22"/>
          <w:lang w:val="tr-TR" w:eastAsia="tr-TR"/>
        </w:rPr>
        <w:t xml:space="preserve">DEMİRIŞIK TEKSTİL KONFEKSİYON SAN. VE TİC. A.Ş. , tüm paydaşlarıyla ilişkilerinde adil ve şeffaf iş yapma ilkesine uymayı taahhüt etmektedir.  DEMİRIŞIK TEKSTİL KONFEKSİYON SAN. VE TİC. A.Ş.  yönetici ve çalışanları ile iş ortaklarının diğer paydaş gruplarıyla ilişkilerinde olduğu gibi devlet kurumlarıyla ilişkilerinde de, yasa ve yönetmeliklere aykırı bir menfaat sağlamak, kişi ya da kurumların kararlarını etkilemek amacıyla herhangi bir ödeme yapmaları, hediye vermeleri, ödeme ya da hediye teklifinde bulunmaları, benzer amaçlarla taahhütte bulunmaları kesinlikle yasaktır. Aynı şekilde  DEMİRIŞIK TEKSTİL KONFEKSİYON SAN. VE TİC. A.Ş. </w:t>
      </w:r>
      <w:r>
        <w:rPr>
          <w:rFonts w:hint="default" w:ascii="Arial" w:hAnsi="Arial" w:cs="Arial"/>
          <w:color w:val="auto"/>
          <w:sz w:val="22"/>
          <w:szCs w:val="22"/>
          <w:lang w:val="en-US" w:eastAsia="tr-TR"/>
        </w:rPr>
        <w:t>‘y</w:t>
      </w:r>
      <w:r>
        <w:rPr>
          <w:rFonts w:hint="default" w:ascii="Arial" w:hAnsi="Arial" w:cs="Arial"/>
          <w:color w:val="auto"/>
          <w:sz w:val="22"/>
          <w:szCs w:val="22"/>
          <w:lang w:val="tr-TR" w:eastAsia="tr-TR"/>
        </w:rPr>
        <w:t>i temsilen bir siyasi partiye ve siyasi parti mensubuna ve bunlara bağlı kurum ve kuruluşlara ödeme yapmak, hediye vermek ya da bu konularda taahhütte bulunmak da  DEMİRIŞIK TEKSTİL KONFEKSİYON SAN. VE TİC. A.Ş.  Etik Kodu</w:t>
      </w:r>
      <w:r>
        <w:rPr>
          <w:rFonts w:hint="default" w:ascii="Arial" w:hAnsi="Arial" w:cs="Arial"/>
          <w:color w:val="auto"/>
          <w:sz w:val="22"/>
          <w:szCs w:val="22"/>
          <w:lang w:val="en-US" w:eastAsia="tr-TR"/>
        </w:rPr>
        <w:t>n</w:t>
      </w:r>
      <w:r>
        <w:rPr>
          <w:rFonts w:hint="default" w:ascii="Arial" w:hAnsi="Arial" w:cs="Arial"/>
          <w:color w:val="auto"/>
          <w:sz w:val="22"/>
          <w:szCs w:val="22"/>
          <w:lang w:val="tr-TR" w:eastAsia="tr-TR"/>
        </w:rPr>
        <w:t>a aykırıdır.</w:t>
      </w:r>
    </w:p>
    <w:p>
      <w:pPr>
        <w:pStyle w:val="4"/>
        <w:numPr>
          <w:ilvl w:val="0"/>
          <w:numId w:val="0"/>
        </w:numPr>
        <w:spacing w:before="6" w:line="360" w:lineRule="auto"/>
        <w:ind w:left="220" w:leftChars="100" w:right="0" w:rightChars="0" w:firstLine="0" w:firstLineChars="0"/>
        <w:jc w:val="both"/>
        <w:rPr>
          <w:rFonts w:hint="default" w:ascii="Arial" w:hAnsi="Arial" w:cs="Arial"/>
          <w:color w:val="auto"/>
          <w:sz w:val="22"/>
          <w:szCs w:val="22"/>
          <w:lang w:val="tr-TR" w:eastAsia="tr-TR"/>
        </w:rPr>
      </w:pPr>
      <w:r>
        <w:rPr>
          <w:rFonts w:hint="default" w:ascii="Arial" w:hAnsi="Arial" w:cs="Arial"/>
          <w:color w:val="auto"/>
          <w:sz w:val="22"/>
          <w:szCs w:val="22"/>
          <w:lang w:val="tr-TR" w:eastAsia="tr-TR"/>
        </w:rPr>
        <w:t>DEMİRIŞIK TEKSTİL KONFEKSİYON SAN. VE TİC. A.Ş. ’</w:t>
      </w:r>
      <w:r>
        <w:rPr>
          <w:rFonts w:hint="default" w:ascii="Arial" w:hAnsi="Arial" w:cs="Arial"/>
          <w:color w:val="auto"/>
          <w:sz w:val="22"/>
          <w:szCs w:val="22"/>
          <w:lang w:val="en-US" w:eastAsia="tr-TR"/>
        </w:rPr>
        <w:t>n</w:t>
      </w:r>
      <w:r>
        <w:rPr>
          <w:rFonts w:hint="default" w:ascii="Arial" w:hAnsi="Arial" w:cs="Arial"/>
          <w:color w:val="auto"/>
          <w:sz w:val="22"/>
          <w:szCs w:val="22"/>
          <w:lang w:val="tr-TR" w:eastAsia="tr-TR"/>
        </w:rPr>
        <w:t>de yasal olarak suç teşkil eden rüşvet ya da komisyon teklif etme, alıp verme kesinlikle yasaktır. Bu tür bir teklifle karşılaşan tüm yönetici ve çalışanlar durumu derhal Etik Hattı’na iletmekle yükümlüdür. Ayrıca müşterilerden, tedarikçilerden,  DEMİRIŞIK TEKSTİL KONFEKSİYON SAN. VE TİC. A.Ş.  rakiplerinden ve diğer üçüncü partilerden kişisel borç istemek veya herkese sunulanın dışında özel imtiyaz ya da indirim talebinde bulunmak da kesinlikle yasaktır.  DEMİRIŞIK TEKSTİL KONFEKSİYON SAN. VE TİC. A.Ş.  çalışanları herhangi bir şekilde rüşvet vermeyi reddetmelerinden ya da yolsuzluk karşıtı bir bildirimde bulunmalarından dolayı cezalandırılmaz.</w:t>
      </w:r>
    </w:p>
    <w:p>
      <w:pPr>
        <w:pStyle w:val="4"/>
        <w:numPr>
          <w:ilvl w:val="0"/>
          <w:numId w:val="0"/>
        </w:numPr>
        <w:spacing w:before="6" w:line="360" w:lineRule="auto"/>
        <w:ind w:left="220" w:leftChars="100" w:right="0" w:rightChars="0" w:firstLine="0" w:firstLineChars="0"/>
        <w:jc w:val="both"/>
        <w:rPr>
          <w:rFonts w:hint="default" w:ascii="Arial" w:hAnsi="Arial" w:cs="Arial"/>
          <w:color w:val="auto"/>
          <w:sz w:val="22"/>
          <w:szCs w:val="22"/>
          <w:lang w:val="tr-TR" w:eastAsia="tr-TR"/>
        </w:rPr>
      </w:pPr>
      <w:r>
        <w:rPr>
          <w:rFonts w:hint="default" w:ascii="Arial" w:hAnsi="Arial" w:cs="Arial"/>
          <w:color w:val="auto"/>
          <w:sz w:val="22"/>
          <w:szCs w:val="22"/>
          <w:lang w:val="tr-TR" w:eastAsia="tr-TR"/>
        </w:rPr>
        <w:t>DEMİRIŞIK TEKSTİL KONFEKSİYON SAN. VE TİC. A.Ş.  Rüşvet ve Yolsuzlukla Mücadele Politikası ve politika kapsamındaki taahhütler, tüm  DEMİRIŞIK TEKSTİL KONFEKSİYON SAN. VE TİC. A.Ş.  değer zinciri içindeki çalışanları, yöneticileri, üst yönetimi, tedarikçi ve iş ortaklarını, ve onların çalışanlarını ve tüm üçüncü partileri kapsamaktadır.</w:t>
      </w:r>
    </w:p>
    <w:p>
      <w:pPr>
        <w:pStyle w:val="4"/>
        <w:numPr>
          <w:ilvl w:val="0"/>
          <w:numId w:val="0"/>
        </w:numPr>
        <w:spacing w:before="6" w:line="360" w:lineRule="auto"/>
        <w:ind w:left="220" w:leftChars="100" w:right="0" w:rightChars="0" w:firstLine="0" w:firstLineChars="0"/>
        <w:jc w:val="both"/>
        <w:rPr>
          <w:rFonts w:hint="default" w:ascii="Arial" w:hAnsi="Arial" w:cs="Arial"/>
          <w:color w:val="auto"/>
          <w:sz w:val="22"/>
          <w:szCs w:val="22"/>
          <w:lang w:val="tr-TR" w:eastAsia="tr-TR"/>
        </w:rPr>
      </w:pPr>
      <w:r>
        <w:rPr>
          <w:rFonts w:hint="default" w:ascii="Arial" w:hAnsi="Arial" w:cs="Arial"/>
          <w:color w:val="auto"/>
          <w:sz w:val="22"/>
          <w:szCs w:val="22"/>
          <w:lang w:val="tr-TR" w:eastAsia="tr-TR"/>
        </w:rPr>
        <w:t>DEMİRIŞIK TEKSTİL KONFEKSİYON SAN. VE TİC. A.Ş.  Yönetim Kurulu rüşvet ve yolsuzlukla mücadele politikasının tüm  DEMİRIŞIK TEKSTİL KONFEKSİYON SAN. VE TİC. A.Ş.  değer zinciri içinde uygulanmasından sorumludur.</w:t>
      </w:r>
    </w:p>
    <w:p>
      <w:pPr>
        <w:pStyle w:val="4"/>
        <w:numPr>
          <w:ilvl w:val="0"/>
          <w:numId w:val="0"/>
        </w:numPr>
        <w:spacing w:before="6" w:line="360" w:lineRule="auto"/>
        <w:ind w:left="220" w:leftChars="100" w:right="0" w:rightChars="0" w:firstLine="0" w:firstLineChars="0"/>
        <w:jc w:val="both"/>
        <w:rPr>
          <w:rFonts w:hint="default" w:ascii="Arial" w:hAnsi="Arial" w:cs="Arial"/>
          <w:color w:val="auto"/>
          <w:sz w:val="22"/>
          <w:szCs w:val="22"/>
          <w:lang w:val="tr-TR" w:eastAsia="tr-TR"/>
        </w:rPr>
      </w:pPr>
      <w:r>
        <w:rPr>
          <w:rFonts w:hint="default" w:ascii="Arial" w:hAnsi="Arial" w:cs="Arial"/>
          <w:color w:val="auto"/>
          <w:sz w:val="22"/>
          <w:szCs w:val="22"/>
          <w:lang w:val="tr-TR" w:eastAsia="tr-TR"/>
        </w:rPr>
        <w:t>DEMİRIŞIK TEKSTİL KONFEKSİYON SAN. VE TİC. A.Ş.  belirlenmesi ve onlara ödeme yapılması konusunda OEM politikaları doğrultusunda hareket etmektedir.</w:t>
      </w:r>
      <w:r>
        <w:rPr>
          <w:rFonts w:hint="default" w:ascii="Arial" w:hAnsi="Arial" w:cs="Arial"/>
          <w:color w:val="auto"/>
          <w:sz w:val="22"/>
          <w:szCs w:val="22"/>
          <w:lang w:val="en-US" w:eastAsia="tr-TR"/>
        </w:rPr>
        <w:t xml:space="preserve"> </w:t>
      </w:r>
      <w:r>
        <w:rPr>
          <w:rFonts w:hint="default" w:ascii="Arial" w:hAnsi="Arial" w:cs="Arial"/>
          <w:color w:val="auto"/>
          <w:sz w:val="22"/>
          <w:szCs w:val="22"/>
          <w:lang w:val="tr-TR" w:eastAsia="tr-TR"/>
        </w:rPr>
        <w:t xml:space="preserve">DEMİRIŞIK TEKSTİL KONFEKSİYON SAN. VE TİC. A.Ş. , yapılan ödemeleri sadece bu standartlara uygun ve yasal hizmetler karşılığında yapmaktadır. </w:t>
      </w:r>
    </w:p>
    <w:p>
      <w:pPr>
        <w:pStyle w:val="4"/>
        <w:spacing w:before="270" w:line="360" w:lineRule="auto"/>
        <w:ind w:right="217"/>
        <w:jc w:val="right"/>
        <w:rPr>
          <w:rFonts w:hint="default" w:ascii="Arial" w:hAnsi="Arial" w:cs="Arial"/>
          <w:color w:val="auto"/>
          <w:sz w:val="22"/>
          <w:szCs w:val="22"/>
          <w:lang w:val="tr-TR"/>
        </w:rPr>
      </w:pPr>
      <w:r>
        <w:rPr>
          <w:rFonts w:hint="default" w:ascii="Arial" w:hAnsi="Arial" w:cs="Arial"/>
          <w:color w:val="auto"/>
          <w:sz w:val="22"/>
          <w:szCs w:val="22"/>
          <w:lang w:val="tr-TR"/>
        </w:rPr>
        <w:t>GENEL MÜDÜR</w:t>
      </w:r>
    </w:p>
    <w:p>
      <w:pPr>
        <w:pStyle w:val="4"/>
        <w:spacing w:before="270" w:line="360" w:lineRule="auto"/>
        <w:ind w:right="217"/>
        <w:jc w:val="right"/>
        <w:rPr>
          <w:rFonts w:hint="default" w:ascii="Arial" w:hAnsi="Arial" w:cs="Arial"/>
          <w:color w:val="auto"/>
          <w:sz w:val="22"/>
          <w:szCs w:val="22"/>
          <w:lang w:val="tr-TR"/>
        </w:rPr>
      </w:pPr>
      <w:r>
        <w:rPr>
          <w:rFonts w:hint="default" w:ascii="Arial" w:hAnsi="Arial" w:cs="Arial"/>
          <w:color w:val="auto"/>
          <w:sz w:val="22"/>
          <w:szCs w:val="22"/>
          <w:lang w:val="tr-TR"/>
        </w:rPr>
        <w:t>31.12.2018</w:t>
      </w:r>
    </w:p>
    <w:sectPr>
      <w:headerReference r:id="rId3" w:type="default"/>
      <w:footerReference r:id="rId4" w:type="default"/>
      <w:pgSz w:w="12240" w:h="15840"/>
      <w:pgMar w:top="1360" w:right="1220" w:bottom="1500" w:left="1220" w:header="0" w:footer="1238"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pPr w:leftFromText="180" w:rightFromText="180" w:vertAnchor="page" w:horzAnchor="page" w:tblpX="1490" w:tblpY="14873"/>
      <w:tblOverlap w:val="never"/>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 w:hRule="atLeast"/>
      </w:trPr>
      <w:tc>
        <w:tcPr>
          <w:tcW w:w="2515" w:type="dxa"/>
          <w:vAlign w:val="center"/>
        </w:tcPr>
        <w:p>
          <w:pPr>
            <w:widowControl w:val="0"/>
            <w:jc w:val="center"/>
            <w:rPr>
              <w:vertAlign w:val="baseline"/>
              <w:lang w:val="tr-TR"/>
            </w:rPr>
          </w:pPr>
          <w:r>
            <w:rPr>
              <w:rFonts w:hint="default" w:ascii="Tahoma" w:hAnsi="Tahoma" w:eastAsia="SimSun" w:cs="Tahoma"/>
              <w:b/>
              <w:bCs/>
              <w:sz w:val="20"/>
              <w:szCs w:val="20"/>
            </w:rPr>
            <w:t>Doküman No:</w:t>
          </w:r>
          <w:r>
            <w:rPr>
              <w:rFonts w:hint="default" w:ascii="Tahoma" w:hAnsi="Tahoma" w:eastAsia="SimSun" w:cs="Tahoma"/>
              <w:sz w:val="20"/>
              <w:szCs w:val="20"/>
              <w:lang w:val="tr-TR"/>
            </w:rPr>
            <w:t xml:space="preserve"> </w:t>
          </w:r>
          <w:r>
            <w:rPr>
              <w:rFonts w:hint="default" w:ascii="Tahoma" w:hAnsi="Tahoma" w:eastAsia="SimSun" w:cs="Tahoma"/>
              <w:sz w:val="20"/>
              <w:szCs w:val="20"/>
            </w:rPr>
            <w:t>P</w:t>
          </w:r>
          <w:r>
            <w:rPr>
              <w:rFonts w:hint="default" w:eastAsia="SimSun" w:cs="Tahoma"/>
              <w:sz w:val="20"/>
              <w:szCs w:val="20"/>
              <w:lang w:val="tr-TR"/>
            </w:rPr>
            <w:t>LT-07</w:t>
          </w:r>
        </w:p>
      </w:tc>
      <w:tc>
        <w:tcPr>
          <w:tcW w:w="7470" w:type="dxa"/>
          <w:vAlign w:val="center"/>
        </w:tcPr>
        <w:p>
          <w:pPr>
            <w:widowControl w:val="0"/>
            <w:jc w:val="center"/>
            <w:rPr>
              <w:vertAlign w:val="baseline"/>
            </w:rPr>
          </w:pPr>
          <w:r>
            <w:rPr>
              <w:rFonts w:hint="default" w:ascii="Tahoma" w:hAnsi="Tahoma" w:eastAsia="SimSun" w:cs="Tahoma"/>
              <w:b/>
              <w:bCs/>
              <w:sz w:val="20"/>
              <w:szCs w:val="20"/>
            </w:rPr>
            <w:t>Yayın Tarihi / Rev.No :</w:t>
          </w:r>
          <w:r>
            <w:rPr>
              <w:rFonts w:hint="default" w:ascii="Tahoma" w:hAnsi="Tahoma" w:eastAsia="SimSun" w:cs="Tahoma"/>
              <w:sz w:val="20"/>
              <w:szCs w:val="20"/>
            </w:rPr>
            <w:t xml:space="preserve"> </w:t>
          </w:r>
          <w:r>
            <w:rPr>
              <w:rFonts w:hint="default" w:ascii="Tahoma" w:hAnsi="Tahoma" w:eastAsia="SimSun" w:cs="Tahoma"/>
              <w:sz w:val="20"/>
              <w:szCs w:val="20"/>
              <w:lang w:val="tr-TR"/>
            </w:rPr>
            <w:t>31.12.2018</w:t>
          </w:r>
          <w:r>
            <w:rPr>
              <w:rFonts w:hint="default" w:ascii="Tahoma" w:hAnsi="Tahoma" w:eastAsia="SimSun" w:cs="Tahoma"/>
              <w:sz w:val="20"/>
              <w:szCs w:val="20"/>
            </w:rPr>
            <w:t xml:space="preserve"> /R.00</w:t>
          </w:r>
        </w:p>
      </w:tc>
    </w:tr>
  </w:tbl>
  <w:p>
    <w:pPr>
      <w:pStyle w:val="4"/>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536"/>
        <w:tab w:val="right" w:pos="9072"/>
        <w:tab w:val="clear" w:pos="4153"/>
        <w:tab w:val="clear" w:pos="8306"/>
      </w:tabs>
      <w:jc w:val="center"/>
      <w:rPr>
        <w:lang w:val="tr-TR"/>
      </w:rPr>
    </w:pPr>
  </w:p>
  <w:p>
    <w:pPr>
      <w:pStyle w:val="5"/>
      <w:tabs>
        <w:tab w:val="center" w:pos="4536"/>
        <w:tab w:val="right" w:pos="9072"/>
        <w:tab w:val="clear" w:pos="4153"/>
        <w:tab w:val="clear" w:pos="8306"/>
      </w:tabs>
      <w:jc w:val="center"/>
      <w:rPr>
        <w:lang w:val="tr-TR"/>
      </w:rPr>
    </w:pPr>
  </w:p>
  <w:p>
    <w:pPr>
      <w:pStyle w:val="5"/>
      <w:tabs>
        <w:tab w:val="center" w:pos="4536"/>
        <w:tab w:val="right" w:pos="9072"/>
        <w:tab w:val="clear" w:pos="4153"/>
        <w:tab w:val="clear" w:pos="8306"/>
      </w:tabs>
      <w:jc w:val="center"/>
      <w:rPr>
        <w:rFonts w:hint="default" w:ascii="Arial" w:hAnsi="Arial" w:cs="Arial"/>
        <w:b/>
        <w:bCs/>
        <w:sz w:val="22"/>
        <w:szCs w:val="22"/>
        <w:lang w:val="tr-TR"/>
      </w:rPr>
    </w:pPr>
    <w:r>
      <w:rPr>
        <w:rFonts w:hint="default" w:ascii="Tahoma" w:hAnsi="Tahoma" w:cs="Tahoma"/>
        <w:color w:val="auto"/>
        <w:lang w:val="tr-TR"/>
      </w:rPr>
      <w:drawing>
        <wp:inline distT="0" distB="0" distL="114300" distR="114300">
          <wp:extent cx="1584325" cy="592455"/>
          <wp:effectExtent l="0" t="0" r="15875" b="17145"/>
          <wp:docPr id="1" name="Picture 1" descr="Ekran Alıntı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kran Alıntısı"/>
                  <pic:cNvPicPr>
                    <a:picLocks noChangeAspect="1"/>
                  </pic:cNvPicPr>
                </pic:nvPicPr>
                <pic:blipFill>
                  <a:blip r:embed="rId1"/>
                  <a:stretch>
                    <a:fillRect/>
                  </a:stretch>
                </pic:blipFill>
                <pic:spPr>
                  <a:xfrm>
                    <a:off x="0" y="0"/>
                    <a:ext cx="1584325" cy="592455"/>
                  </a:xfrm>
                  <a:prstGeom prst="rect">
                    <a:avLst/>
                  </a:prstGeom>
                  <a:noFill/>
                  <a:ln w="9525">
                    <a:noFill/>
                  </a:ln>
                </pic:spPr>
              </pic:pic>
            </a:graphicData>
          </a:graphic>
        </wp:inline>
      </w:drawing>
    </w:r>
  </w:p>
  <w:p>
    <w:pPr>
      <w:pStyle w:val="5"/>
      <w:jc w:val="right"/>
    </w:pPr>
    <w:r>
      <w:rPr>
        <w:rFonts w:hint="default" w:ascii="Arial" w:hAnsi="Arial" w:cs="Arial"/>
        <w:b/>
        <w:bCs/>
        <w:sz w:val="22"/>
        <w:szCs w:val="22"/>
        <w:lang w:val="tr-TR"/>
      </w:rPr>
      <w:t>31.12.2018</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000000"/>
    <w:rsid w:val="06DA2B43"/>
    <w:rsid w:val="07A9210F"/>
    <w:rsid w:val="0C343EE4"/>
    <w:rsid w:val="11584248"/>
    <w:rsid w:val="1DFA64CC"/>
    <w:rsid w:val="25D67162"/>
    <w:rsid w:val="28576946"/>
    <w:rsid w:val="2A995D8B"/>
    <w:rsid w:val="347343C3"/>
    <w:rsid w:val="3C553815"/>
    <w:rsid w:val="436E5AC7"/>
    <w:rsid w:val="46F6721D"/>
    <w:rsid w:val="4D67286F"/>
    <w:rsid w:val="4FAB3B93"/>
    <w:rsid w:val="58832EC5"/>
    <w:rsid w:val="59BD0F7F"/>
    <w:rsid w:val="5CBA414B"/>
    <w:rsid w:val="637D23F9"/>
    <w:rsid w:val="69013B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tr-TR" w:eastAsia="tr-TR" w:bidi="tr-TR"/>
    </w:rPr>
  </w:style>
  <w:style w:type="paragraph" w:styleId="2">
    <w:name w:val="heading 1"/>
    <w:basedOn w:val="1"/>
    <w:next w:val="1"/>
    <w:qFormat/>
    <w:uiPriority w:val="1"/>
    <w:pPr>
      <w:ind w:left="220"/>
      <w:jc w:val="both"/>
      <w:outlineLvl w:val="1"/>
    </w:pPr>
    <w:rPr>
      <w:rFonts w:ascii="Times New Roman" w:hAnsi="Times New Roman" w:eastAsia="Times New Roman" w:cs="Times New Roman"/>
      <w:b/>
      <w:bCs/>
      <w:sz w:val="40"/>
      <w:szCs w:val="40"/>
      <w:lang w:val="tr-TR" w:eastAsia="tr-TR" w:bidi="tr-TR"/>
    </w:rPr>
  </w:style>
  <w:style w:type="paragraph" w:styleId="3">
    <w:name w:val="heading 2"/>
    <w:basedOn w:val="1"/>
    <w:next w:val="1"/>
    <w:qFormat/>
    <w:uiPriority w:val="1"/>
    <w:pPr>
      <w:ind w:left="580" w:hanging="360"/>
      <w:jc w:val="both"/>
      <w:outlineLvl w:val="2"/>
    </w:pPr>
    <w:rPr>
      <w:rFonts w:ascii="Times New Roman" w:hAnsi="Times New Roman" w:eastAsia="Times New Roman" w:cs="Times New Roman"/>
      <w:b/>
      <w:bCs/>
      <w:sz w:val="24"/>
      <w:szCs w:val="24"/>
      <w:lang w:val="tr-TR" w:eastAsia="tr-TR" w:bidi="tr-TR"/>
    </w:rPr>
  </w:style>
  <w:style w:type="character" w:default="1" w:styleId="6">
    <w:name w:val="Default Paragraph Font"/>
    <w:unhideWhenUsed/>
    <w:qFormat/>
    <w:uiPriority w:val="1"/>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qFormat/>
    <w:uiPriority w:val="1"/>
    <w:rPr>
      <w:rFonts w:ascii="Times New Roman" w:hAnsi="Times New Roman" w:eastAsia="Times New Roman" w:cs="Times New Roman"/>
      <w:sz w:val="24"/>
      <w:szCs w:val="24"/>
      <w:lang w:val="tr-TR" w:eastAsia="tr-TR" w:bidi="tr-TR"/>
    </w:rPr>
  </w:style>
  <w:style w:type="paragraph" w:styleId="5">
    <w:name w:val="header"/>
    <w:basedOn w:val="1"/>
    <w:qFormat/>
    <w:uiPriority w:val="0"/>
    <w:pPr>
      <w:tabs>
        <w:tab w:val="center" w:pos="4153"/>
        <w:tab w:val="right" w:pos="8306"/>
      </w:tabs>
      <w:snapToGrid w:val="0"/>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
    <w:name w:val="Table Normal1"/>
    <w:unhideWhenUsed/>
    <w:qFormat/>
    <w:uiPriority w:val="2"/>
    <w:tblPr>
      <w:tblLayout w:type="fixed"/>
      <w:tblCellMar>
        <w:top w:w="0" w:type="dxa"/>
        <w:left w:w="0" w:type="dxa"/>
        <w:bottom w:w="0" w:type="dxa"/>
        <w:right w:w="0" w:type="dxa"/>
      </w:tblCellMar>
    </w:tblPr>
  </w:style>
  <w:style w:type="paragraph" w:customStyle="1" w:styleId="10">
    <w:name w:val="List Paragraph"/>
    <w:basedOn w:val="1"/>
    <w:qFormat/>
    <w:uiPriority w:val="1"/>
    <w:pPr>
      <w:ind w:left="940" w:hanging="360"/>
      <w:jc w:val="both"/>
    </w:pPr>
    <w:rPr>
      <w:rFonts w:ascii="Times New Roman" w:hAnsi="Times New Roman" w:eastAsia="Times New Roman" w:cs="Times New Roman"/>
      <w:lang w:val="tr-TR" w:eastAsia="tr-TR" w:bidi="tr-TR"/>
    </w:rPr>
  </w:style>
  <w:style w:type="paragraph" w:customStyle="1" w:styleId="11">
    <w:name w:val="Table Paragraph"/>
    <w:basedOn w:val="1"/>
    <w:qFormat/>
    <w:uiPriority w:val="1"/>
    <w:pPr>
      <w:spacing w:line="675" w:lineRule="exact"/>
      <w:ind w:left="867" w:right="871"/>
      <w:jc w:val="center"/>
    </w:pPr>
    <w:rPr>
      <w:rFonts w:ascii="Tahoma" w:hAnsi="Tahoma" w:eastAsia="Tahoma" w:cs="Tahoma"/>
      <w:lang w:val="tr-TR" w:eastAsia="tr-TR" w:bidi="tr-T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2017-12-27T07:04:00Z</dcterms:created>
  <dc:creator>Gülşah Üstüner</dc:creator>
  <cp:lastModifiedBy>Gizem DEMİR</cp:lastModifiedBy>
  <dcterms:modified xsi:type="dcterms:W3CDTF">2020-03-06T14:36:38Z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2016-04-19T00:00:00Z</vt:filetime>
  </property>
  <property fmtid="{D5CDD505-2E9C-101B-9397-08002B2CF9AE}" pid="3" name="Creator">
    <vt:lpwstr>Microsoft® Word 2013</vt:lpwstr>
  </property>
  <property fmtid="{D5CDD505-2E9C-101B-9397-08002B2CF9AE}" pid="4" name="LastSaved">
    <vt:filetime>2017-12-27T00:00:00Z</vt:filetime>
  </property>
  <property fmtid="{D5CDD505-2E9C-101B-9397-08002B2CF9AE}" pid="5" name="KSOProductBuildVer">
    <vt:lpwstr>1033-10.2.0.7646</vt:lpwstr>
  </property>
</Properties>
</file>